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46FB3" w:rsidRDefault="00CA1B6F" w:rsidP="00CC4269">
      <w:pPr>
        <w:autoSpaceDE w:val="0"/>
        <w:autoSpaceDN w:val="0"/>
        <w:adjustRightInd w:val="0"/>
        <w:spacing w:after="0"/>
        <w:rPr>
          <w:rFonts w:ascii="Arial" w:hAnsi="Arial" w:cs="Arial"/>
          <w:b/>
          <w:sz w:val="20"/>
          <w:szCs w:val="20"/>
        </w:rPr>
      </w:pPr>
      <w:r>
        <w:rPr>
          <w:rFonts w:ascii="Arial" w:hAnsi="Arial" w:cs="Arial"/>
          <w:b/>
          <w:sz w:val="20"/>
          <w:szCs w:val="20"/>
        </w:rPr>
        <w:t>MARS 2023</w:t>
      </w:r>
      <w:r w:rsidR="000E45D3">
        <w:rPr>
          <w:rFonts w:ascii="Arial" w:hAnsi="Arial" w:cs="Arial"/>
          <w:b/>
          <w:sz w:val="20"/>
          <w:szCs w:val="20"/>
        </w:rPr>
        <w:t xml:space="preserve"> </w:t>
      </w:r>
      <w:r w:rsidR="00CC4269">
        <w:rPr>
          <w:rFonts w:ascii="Arial" w:hAnsi="Arial" w:cs="Arial"/>
          <w:b/>
          <w:sz w:val="20"/>
          <w:szCs w:val="20"/>
        </w:rPr>
        <w:t xml:space="preserve"> |</w:t>
      </w:r>
      <w:r w:rsidR="000E45D3">
        <w:rPr>
          <w:rFonts w:ascii="Arial" w:hAnsi="Arial" w:cs="Arial"/>
          <w:b/>
          <w:sz w:val="20"/>
          <w:szCs w:val="20"/>
        </w:rPr>
        <w:t xml:space="preserve"> </w:t>
      </w:r>
      <w:r w:rsidR="00CC4269">
        <w:rPr>
          <w:rFonts w:ascii="Arial" w:hAnsi="Arial" w:cs="Arial"/>
          <w:b/>
          <w:sz w:val="20"/>
          <w:szCs w:val="20"/>
        </w:rPr>
        <w:t xml:space="preserve"> </w:t>
      </w:r>
      <w:r>
        <w:rPr>
          <w:rFonts w:ascii="Arial" w:hAnsi="Arial" w:cs="Arial"/>
          <w:b/>
          <w:sz w:val="20"/>
          <w:szCs w:val="20"/>
        </w:rPr>
        <w:t>INTEC LEIPZIG</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Pr="00C102CB" w:rsidRDefault="00CC4269" w:rsidP="00CC4269">
      <w:pPr>
        <w:autoSpaceDE w:val="0"/>
        <w:autoSpaceDN w:val="0"/>
        <w:adjustRightInd w:val="0"/>
        <w:spacing w:after="0"/>
        <w:rPr>
          <w:rFonts w:ascii="Arial" w:hAnsi="Arial" w:cs="Arial"/>
          <w:sz w:val="20"/>
          <w:szCs w:val="20"/>
        </w:rPr>
      </w:pPr>
    </w:p>
    <w:p w:rsidR="00CA1B6F" w:rsidRPr="00CA1B6F" w:rsidRDefault="00CA1B6F" w:rsidP="00CA1B6F">
      <w:pPr>
        <w:ind w:right="-432"/>
        <w:rPr>
          <w:rFonts w:ascii="Arial" w:hAnsi="Arial" w:cs="Arial"/>
          <w:b/>
          <w:color w:val="000000" w:themeColor="text1"/>
          <w:lang w:val="fr-FR"/>
        </w:rPr>
      </w:pPr>
      <w:bookmarkStart w:id="0" w:name="_GoBack"/>
      <w:r w:rsidRPr="00CA1B6F">
        <w:rPr>
          <w:rFonts w:ascii="Arial" w:hAnsi="Arial" w:cs="Arial"/>
          <w:b/>
          <w:color w:val="000000" w:themeColor="text1"/>
          <w:lang w:val="fr-FR"/>
        </w:rPr>
        <w:t>L'efficacité grâce au système modulaire</w:t>
      </w:r>
      <w:bookmarkEnd w:id="0"/>
      <w:r w:rsidRPr="00CA1B6F">
        <w:rPr>
          <w:rFonts w:ascii="Arial" w:hAnsi="Arial" w:cs="Arial"/>
          <w:b/>
          <w:color w:val="000000" w:themeColor="text1"/>
          <w:lang w:val="fr-FR"/>
        </w:rPr>
        <w:tab/>
      </w:r>
    </w:p>
    <w:p w:rsidR="00CA1B6F" w:rsidRPr="00CA1B6F" w:rsidRDefault="00CA1B6F" w:rsidP="00CA1B6F">
      <w:pPr>
        <w:ind w:right="-432"/>
        <w:jc w:val="both"/>
        <w:rPr>
          <w:rFonts w:ascii="Arial" w:hAnsi="Arial" w:cs="Arial"/>
          <w:color w:val="000000" w:themeColor="text1"/>
          <w:lang w:val="fr-FR"/>
        </w:rPr>
      </w:pPr>
      <w:r w:rsidRPr="00CA1B6F">
        <w:rPr>
          <w:rFonts w:ascii="Arial" w:hAnsi="Arial" w:cs="Arial"/>
          <w:color w:val="000000" w:themeColor="text1"/>
          <w:lang w:val="fr-FR"/>
        </w:rPr>
        <w:t xml:space="preserve">Grâce à sa précision et à sa rigidité, le système de gorge modulaire de </w:t>
      </w:r>
      <w:r>
        <w:rPr>
          <w:rFonts w:ascii="Arial" w:hAnsi="Arial" w:cs="Arial"/>
          <w:color w:val="000000" w:themeColor="text1"/>
          <w:lang w:val="fr-FR"/>
        </w:rPr>
        <w:t>Paul Horn GmbH</w:t>
      </w:r>
      <w:r w:rsidRPr="00CA1B6F">
        <w:rPr>
          <w:rFonts w:ascii="Arial" w:hAnsi="Arial" w:cs="Arial"/>
          <w:color w:val="000000" w:themeColor="text1"/>
          <w:lang w:val="fr-FR"/>
        </w:rPr>
        <w:t xml:space="preserve"> présente une grande flexibilité dans l'adaptation de différents types de machines. Des modules standardisés couvrent plusieurs interfaces. Le système modulaire dispose d'un choix de supports de base pour tourelles et autres interfaces sur la base des types de machines courants. Les supports de tronçonnage adaptés avec arrosage intégré permettent de régler la hauteur des cassettes et de les fixer en position normale ou en position renversée, à gauche ou à droite du support de tronçonnage. Pour les multibroches, des supports de base réglables en hauteur sont disponibles, sur lesquels les cassettes sont directement vissées. Les cassettes servent de support à de nombreux systèmes de plaquettes de tronçonnage H</w:t>
      </w:r>
      <w:r>
        <w:rPr>
          <w:rFonts w:ascii="Arial" w:hAnsi="Arial" w:cs="Arial"/>
          <w:color w:val="000000" w:themeColor="text1"/>
          <w:lang w:val="fr-FR"/>
        </w:rPr>
        <w:t>orn</w:t>
      </w:r>
      <w:r w:rsidRPr="00CA1B6F">
        <w:rPr>
          <w:rFonts w:ascii="Arial" w:hAnsi="Arial" w:cs="Arial"/>
          <w:color w:val="000000" w:themeColor="text1"/>
          <w:lang w:val="fr-FR"/>
        </w:rPr>
        <w:t>. Tronçonnage, gorges, chariotage : Le système modulaire s'adapte de manière flexible à l'application.</w:t>
      </w:r>
    </w:p>
    <w:p w:rsidR="00CA1B6F" w:rsidRPr="00CA1B6F" w:rsidRDefault="00CA1B6F" w:rsidP="00CA1B6F">
      <w:pPr>
        <w:ind w:right="-432"/>
        <w:jc w:val="both"/>
        <w:rPr>
          <w:rFonts w:ascii="Arial" w:hAnsi="Arial" w:cs="Arial"/>
          <w:color w:val="000000" w:themeColor="text1"/>
          <w:lang w:val="en-US"/>
        </w:rPr>
      </w:pPr>
      <w:r w:rsidRPr="00CA1B6F">
        <w:rPr>
          <w:rFonts w:ascii="Arial" w:hAnsi="Arial" w:cs="Arial"/>
          <w:color w:val="000000" w:themeColor="text1"/>
          <w:lang w:val="fr-FR"/>
        </w:rPr>
        <w:t>H</w:t>
      </w:r>
      <w:r>
        <w:rPr>
          <w:rFonts w:ascii="Arial" w:hAnsi="Arial" w:cs="Arial"/>
          <w:color w:val="000000" w:themeColor="text1"/>
          <w:lang w:val="fr-FR"/>
        </w:rPr>
        <w:t>orn</w:t>
      </w:r>
      <w:r w:rsidRPr="00CA1B6F">
        <w:rPr>
          <w:rFonts w:ascii="Arial" w:hAnsi="Arial" w:cs="Arial"/>
          <w:color w:val="000000" w:themeColor="text1"/>
          <w:lang w:val="fr-FR"/>
        </w:rPr>
        <w:t xml:space="preserve"> ajoute de nouvelles variantes à son système modulaire, spécialement pour l'utilisation sur les machines </w:t>
      </w:r>
      <w:proofErr w:type="spellStart"/>
      <w:r w:rsidRPr="00CA1B6F">
        <w:rPr>
          <w:rFonts w:ascii="Arial" w:hAnsi="Arial" w:cs="Arial"/>
          <w:color w:val="000000" w:themeColor="text1"/>
          <w:lang w:val="fr-FR"/>
        </w:rPr>
        <w:t>Schütte</w:t>
      </w:r>
      <w:proofErr w:type="spellEnd"/>
      <w:r w:rsidRPr="00CA1B6F">
        <w:rPr>
          <w:rFonts w:ascii="Arial" w:hAnsi="Arial" w:cs="Arial"/>
          <w:color w:val="000000" w:themeColor="text1"/>
          <w:lang w:val="fr-FR"/>
        </w:rPr>
        <w:t xml:space="preserve">. Le système d'outils de type 850 succède au système 849, avec une taille plus compacte, le système de porte-outils offre une grande stabilité ainsi qu'un refroidissement ciblé de la face de dépouille de la plaquette. Le système de porte-plaquettes est adapté à toutes les tailles du système de plaquettes de type 315. Pour d'autres plaquettes, HORN propose des solutions spéciales correspondantes. Les porte-outils de base sont disponibles avec ou sans réglage. Le réglage de la hauteur est simple et facilement accessible par l'avant. Le système d'outils est compatible avec les séries </w:t>
      </w:r>
      <w:proofErr w:type="spellStart"/>
      <w:r w:rsidRPr="00CA1B6F">
        <w:rPr>
          <w:rFonts w:ascii="Arial" w:hAnsi="Arial" w:cs="Arial"/>
          <w:color w:val="000000" w:themeColor="text1"/>
          <w:lang w:val="fr-FR"/>
        </w:rPr>
        <w:t>Schütte</w:t>
      </w:r>
      <w:proofErr w:type="spellEnd"/>
      <w:r w:rsidRPr="00CA1B6F">
        <w:rPr>
          <w:rFonts w:ascii="Arial" w:hAnsi="Arial" w:cs="Arial"/>
          <w:color w:val="000000" w:themeColor="text1"/>
          <w:lang w:val="fr-FR"/>
        </w:rPr>
        <w:t xml:space="preserve"> ECX, SCX et ACX.</w:t>
      </w:r>
    </w:p>
    <w:p w:rsidR="00CA1B6F" w:rsidRDefault="00CA1B6F" w:rsidP="00CA1B6F">
      <w:pPr>
        <w:autoSpaceDE w:val="0"/>
        <w:autoSpaceDN w:val="0"/>
        <w:adjustRightInd w:val="0"/>
        <w:spacing w:after="0" w:line="360" w:lineRule="auto"/>
        <w:rPr>
          <w:rStyle w:val="hps"/>
          <w:rFonts w:ascii="Arial" w:hAnsi="Arial" w:cs="Arial"/>
          <w:i/>
          <w:color w:val="222222"/>
          <w:lang w:val="fr-FR"/>
        </w:rPr>
      </w:pPr>
      <w:proofErr w:type="gramStart"/>
      <w:r w:rsidRPr="00CA1B6F">
        <w:rPr>
          <w:rFonts w:ascii="Arial" w:hAnsi="Arial" w:cs="Arial"/>
          <w:i/>
          <w:color w:val="000000" w:themeColor="text1"/>
          <w:lang w:val="en-US"/>
        </w:rPr>
        <w:t>1.635</w:t>
      </w:r>
      <w:proofErr w:type="gramEnd"/>
      <w:r>
        <w:rPr>
          <w:rFonts w:ascii="Arial" w:hAnsi="Arial" w:cs="Arial"/>
          <w:color w:val="000000" w:themeColor="text1"/>
          <w:lang w:val="en-US"/>
        </w:rPr>
        <w:t xml:space="preserve"> </w:t>
      </w:r>
      <w:r w:rsidRPr="00CA1B6F">
        <w:rPr>
          <w:rStyle w:val="hps"/>
          <w:rFonts w:ascii="Arial" w:hAnsi="Arial" w:cs="Arial"/>
          <w:i/>
          <w:color w:val="222222"/>
          <w:lang w:val="fr-FR"/>
        </w:rPr>
        <w:t>caractères</w:t>
      </w:r>
      <w:r w:rsidRPr="00CA1B6F">
        <w:rPr>
          <w:rStyle w:val="shorttext"/>
          <w:rFonts w:ascii="Arial" w:hAnsi="Arial" w:cs="Arial"/>
          <w:i/>
          <w:color w:val="222222"/>
          <w:lang w:val="fr-FR"/>
        </w:rPr>
        <w:t xml:space="preserve"> </w:t>
      </w:r>
      <w:r w:rsidRPr="00CA1B6F">
        <w:rPr>
          <w:rStyle w:val="hps"/>
          <w:rFonts w:ascii="Arial" w:hAnsi="Arial" w:cs="Arial"/>
          <w:i/>
          <w:color w:val="222222"/>
          <w:lang w:val="fr-FR"/>
        </w:rPr>
        <w:t>espaces</w:t>
      </w:r>
      <w:r w:rsidRPr="00CA1B6F">
        <w:rPr>
          <w:rStyle w:val="shorttext"/>
          <w:rFonts w:ascii="Arial" w:hAnsi="Arial" w:cs="Arial"/>
          <w:i/>
          <w:color w:val="222222"/>
          <w:lang w:val="fr-FR"/>
        </w:rPr>
        <w:t xml:space="preserve"> </w:t>
      </w:r>
      <w:r w:rsidRPr="00CA1B6F">
        <w:rPr>
          <w:rStyle w:val="hps"/>
          <w:rFonts w:ascii="Arial" w:hAnsi="Arial" w:cs="Arial"/>
          <w:i/>
          <w:color w:val="222222"/>
          <w:lang w:val="fr-FR"/>
        </w:rPr>
        <w:t>incl.</w:t>
      </w:r>
    </w:p>
    <w:p w:rsidR="00CA1B6F" w:rsidRPr="00CA1B6F" w:rsidRDefault="00CA1B6F" w:rsidP="00CA1B6F">
      <w:pPr>
        <w:autoSpaceDE w:val="0"/>
        <w:autoSpaceDN w:val="0"/>
        <w:adjustRightInd w:val="0"/>
        <w:spacing w:after="0" w:line="360" w:lineRule="auto"/>
        <w:rPr>
          <w:rStyle w:val="hps"/>
          <w:rFonts w:ascii="Arial" w:hAnsi="Arial" w:cs="Arial"/>
          <w:i/>
          <w:color w:val="222222"/>
          <w:lang w:val="fr-FR"/>
        </w:rPr>
      </w:pPr>
    </w:p>
    <w:p w:rsidR="00CA1B6F" w:rsidRPr="00CA1B6F" w:rsidRDefault="00CA1B6F" w:rsidP="00CA1B6F">
      <w:pPr>
        <w:ind w:right="-432"/>
        <w:rPr>
          <w:rFonts w:ascii="Arial" w:hAnsi="Arial" w:cs="Arial"/>
          <w:color w:val="000000" w:themeColor="text1"/>
          <w:lang w:val="en-US"/>
        </w:rPr>
      </w:pPr>
      <w:r w:rsidRPr="0090743E">
        <w:rPr>
          <w:rFonts w:ascii="Arial" w:hAnsi="Arial" w:cs="Arial"/>
          <w:noProof/>
          <w:color w:val="000000" w:themeColor="text1"/>
          <w:lang w:eastAsia="de-DE"/>
        </w:rPr>
        <w:drawing>
          <wp:inline distT="0" distB="0" distL="0" distR="0" wp14:anchorId="10209CD0" wp14:editId="4E2C8771">
            <wp:extent cx="2727019" cy="1816041"/>
            <wp:effectExtent l="0" t="0" r="0" b="0"/>
            <wp:docPr id="2" name="Grafik 2" descr="C:\Users\cstelzer\Nextcloud\Presseinformationen\BilderNeuheiten AMB 2022\Web\960_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Neuheiten AMB 2022\Web\960_Detai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733511" cy="1820364"/>
                    </a:xfrm>
                    <a:prstGeom prst="rect">
                      <a:avLst/>
                    </a:prstGeom>
                    <a:noFill/>
                    <a:ln>
                      <a:noFill/>
                    </a:ln>
                  </pic:spPr>
                </pic:pic>
              </a:graphicData>
            </a:graphic>
          </wp:inline>
        </w:drawing>
      </w:r>
    </w:p>
    <w:p w:rsidR="00CA1B6F" w:rsidRPr="00CA1B6F" w:rsidRDefault="00CA1B6F" w:rsidP="00CA1B6F">
      <w:pPr>
        <w:rPr>
          <w:rFonts w:ascii="Arial" w:hAnsi="Arial" w:cs="Arial"/>
          <w:color w:val="000000" w:themeColor="text1"/>
          <w:lang w:val="fr-FR"/>
        </w:rPr>
      </w:pPr>
      <w:r>
        <w:rPr>
          <w:rFonts w:ascii="Arial" w:hAnsi="Arial" w:cs="Arial"/>
          <w:color w:val="000000" w:themeColor="text1"/>
          <w:lang w:val="fr-FR"/>
        </w:rPr>
        <w:t xml:space="preserve">Photo : </w:t>
      </w:r>
      <w:r w:rsidRPr="00CA1B6F">
        <w:rPr>
          <w:rFonts w:ascii="Arial" w:hAnsi="Arial" w:cs="Arial"/>
          <w:color w:val="000000" w:themeColor="text1"/>
          <w:lang w:val="fr-FR"/>
        </w:rPr>
        <w:t xml:space="preserve">Les supports de cassette servent à de nombreux systèmes de plaquettes Horn. </w:t>
      </w:r>
    </w:p>
    <w:p w:rsidR="00CA1B6F" w:rsidRPr="00A34100" w:rsidRDefault="00CA1B6F" w:rsidP="00CA1B6F">
      <w:pPr>
        <w:rPr>
          <w:rFonts w:ascii="Arial" w:hAnsi="Arial" w:cs="Arial"/>
        </w:rPr>
      </w:pPr>
      <w:r>
        <w:rPr>
          <w:rFonts w:ascii="Arial" w:hAnsi="Arial" w:cs="Arial"/>
        </w:rPr>
        <w:t>Source</w:t>
      </w:r>
      <w:r w:rsidRPr="00A34100">
        <w:rPr>
          <w:rFonts w:ascii="Arial" w:hAnsi="Arial" w:cs="Arial"/>
        </w:rPr>
        <w:t>: Horn/Sauermann</w:t>
      </w:r>
    </w:p>
    <w:p w:rsidR="00CA1B6F" w:rsidRPr="00CA1B6F" w:rsidRDefault="00CA1B6F" w:rsidP="00CA1B6F">
      <w:pPr>
        <w:rPr>
          <w:rFonts w:ascii="Arial" w:hAnsi="Arial" w:cs="Arial"/>
          <w:color w:val="000000" w:themeColor="text1"/>
          <w:lang w:val="fr-FR"/>
        </w:rPr>
      </w:pPr>
    </w:p>
    <w:p w:rsidR="00CA1B6F" w:rsidRPr="00CA1B6F" w:rsidRDefault="00CA1B6F" w:rsidP="00CA1B6F">
      <w:pPr>
        <w:rPr>
          <w:rFonts w:ascii="Arial" w:hAnsi="Arial" w:cs="Arial"/>
          <w:color w:val="000000" w:themeColor="text1"/>
          <w:lang w:val="en-US"/>
        </w:rPr>
      </w:pPr>
      <w:r w:rsidRPr="0090743E">
        <w:rPr>
          <w:rFonts w:ascii="Arial" w:hAnsi="Arial" w:cs="Arial"/>
          <w:noProof/>
          <w:color w:val="000000" w:themeColor="text1"/>
          <w:lang w:eastAsia="de-DE"/>
        </w:rPr>
        <w:lastRenderedPageBreak/>
        <w:drawing>
          <wp:inline distT="0" distB="0" distL="0" distR="0" wp14:anchorId="1C9AB911" wp14:editId="76BA7626">
            <wp:extent cx="2695641" cy="1795145"/>
            <wp:effectExtent l="0" t="0" r="9525" b="0"/>
            <wp:docPr id="1" name="Grafik 1" descr="C:\Users\cstelzer\Nextcloud\Presseinformationen\BilderNeuheiten AMB 2022\Web\960_Gro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BilderNeuheiten AMB 2022\Web\960_Group.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719874" cy="1811283"/>
                    </a:xfrm>
                    <a:prstGeom prst="rect">
                      <a:avLst/>
                    </a:prstGeom>
                    <a:noFill/>
                    <a:ln>
                      <a:noFill/>
                    </a:ln>
                  </pic:spPr>
                </pic:pic>
              </a:graphicData>
            </a:graphic>
          </wp:inline>
        </w:drawing>
      </w:r>
    </w:p>
    <w:p w:rsidR="000119F4" w:rsidRPr="00CA1B6F" w:rsidRDefault="00CA1B6F" w:rsidP="000119F4">
      <w:pPr>
        <w:rPr>
          <w:rFonts w:ascii="Arial" w:hAnsi="Arial" w:cs="Arial"/>
        </w:rPr>
      </w:pPr>
      <w:proofErr w:type="spellStart"/>
      <w:r w:rsidRPr="00CA1B6F">
        <w:rPr>
          <w:rFonts w:ascii="Arial" w:hAnsi="Arial" w:cs="Arial"/>
        </w:rPr>
        <w:t>Photo</w:t>
      </w:r>
      <w:proofErr w:type="spellEnd"/>
      <w:r w:rsidRPr="00CA1B6F">
        <w:rPr>
          <w:rFonts w:ascii="Arial" w:hAnsi="Arial" w:cs="Arial"/>
        </w:rPr>
        <w:t>:</w:t>
      </w:r>
      <w:r>
        <w:rPr>
          <w:rFonts w:ascii="Arial" w:hAnsi="Arial" w:cs="Arial"/>
        </w:rPr>
        <w:t xml:space="preserve"> </w:t>
      </w:r>
      <w:r w:rsidRPr="00CA1B6F">
        <w:rPr>
          <w:rFonts w:ascii="Arial" w:hAnsi="Arial" w:cs="Arial"/>
          <w:color w:val="000000" w:themeColor="text1"/>
          <w:lang w:val="fr-FR"/>
        </w:rPr>
        <w:t>Le système modulaire dispose d'un choix de supports de base pour tourelles et autres interfaces sur la base des types de machines courants.</w:t>
      </w:r>
    </w:p>
    <w:p w:rsidR="000119F4" w:rsidRPr="00A34100" w:rsidRDefault="000119F4" w:rsidP="000119F4">
      <w:pPr>
        <w:rPr>
          <w:rFonts w:ascii="Arial" w:hAnsi="Arial" w:cs="Arial"/>
        </w:rPr>
      </w:pPr>
      <w:r>
        <w:rPr>
          <w:rFonts w:ascii="Arial" w:hAnsi="Arial" w:cs="Arial"/>
        </w:rPr>
        <w:t>Source</w:t>
      </w:r>
      <w:r w:rsidRPr="00A34100">
        <w:rPr>
          <w:rFonts w:ascii="Arial" w:hAnsi="Arial" w:cs="Arial"/>
        </w:rPr>
        <w:t>: Horn/Sauermann</w:t>
      </w:r>
    </w:p>
    <w:p w:rsidR="000119F4" w:rsidRDefault="000119F4" w:rsidP="000119F4">
      <w:pPr>
        <w:rPr>
          <w:rFonts w:ascii="Arial" w:hAnsi="Arial" w:cs="Arial"/>
        </w:rPr>
      </w:pPr>
    </w:p>
    <w:p w:rsidR="00257F05" w:rsidRPr="000119F4" w:rsidRDefault="00257F05" w:rsidP="00257F05">
      <w:pPr>
        <w:autoSpaceDE w:val="0"/>
        <w:autoSpaceDN w:val="0"/>
        <w:adjustRightInd w:val="0"/>
        <w:spacing w:after="0" w:line="360" w:lineRule="auto"/>
        <w:rPr>
          <w:rFonts w:ascii="Arial" w:hAnsi="Arial" w:cs="Arial"/>
        </w:rPr>
      </w:pPr>
      <w:r w:rsidRPr="000119F4">
        <w:rPr>
          <w:rFonts w:ascii="Arial" w:hAnsi="Arial" w:cs="Arial"/>
        </w:rPr>
        <w:t xml:space="preserve">Responsable des </w:t>
      </w:r>
      <w:proofErr w:type="spellStart"/>
      <w:r w:rsidRPr="000119F4">
        <w:rPr>
          <w:rFonts w:ascii="Arial" w:hAnsi="Arial" w:cs="Arial"/>
        </w:rPr>
        <w:t>demandes</w:t>
      </w:r>
      <w:proofErr w:type="spellEnd"/>
      <w:r w:rsidRPr="000119F4">
        <w:rPr>
          <w:rFonts w:ascii="Arial" w:hAnsi="Arial" w:cs="Arial"/>
        </w:rPr>
        <w:t xml:space="preserve"> de </w:t>
      </w:r>
      <w:proofErr w:type="spellStart"/>
      <w:r w:rsidRPr="000119F4">
        <w:rPr>
          <w:rFonts w:ascii="Arial" w:hAnsi="Arial" w:cs="Arial"/>
        </w:rPr>
        <w:t>précisions</w:t>
      </w:r>
      <w:proofErr w:type="spellEnd"/>
      <w:r w:rsidRPr="000119F4">
        <w:rPr>
          <w:rFonts w:ascii="Arial" w:hAnsi="Arial" w:cs="Arial"/>
        </w:rPr>
        <w:t xml:space="preserve">: </w:t>
      </w:r>
    </w:p>
    <w:p w:rsidR="00257F05" w:rsidRDefault="00257F05" w:rsidP="00257F05">
      <w:pPr>
        <w:autoSpaceDE w:val="0"/>
        <w:autoSpaceDN w:val="0"/>
        <w:adjustRightInd w:val="0"/>
        <w:spacing w:after="0" w:line="360" w:lineRule="auto"/>
        <w:rPr>
          <w:rFonts w:ascii="Arial" w:hAnsi="Arial" w:cs="Arial"/>
        </w:rPr>
      </w:pPr>
      <w:r w:rsidRPr="00A34100">
        <w:rPr>
          <w:rFonts w:ascii="Arial" w:hAnsi="Arial" w:cs="Arial"/>
        </w:rPr>
        <w:t>Hartmetall-Werkzeugfabrik Paul Horn GmbH</w:t>
      </w:r>
    </w:p>
    <w:p w:rsidR="00257F05" w:rsidRPr="00A34100" w:rsidRDefault="00257F05" w:rsidP="00257F05">
      <w:pPr>
        <w:autoSpaceDE w:val="0"/>
        <w:autoSpaceDN w:val="0"/>
        <w:adjustRightInd w:val="0"/>
        <w:spacing w:after="0" w:line="360" w:lineRule="auto"/>
        <w:rPr>
          <w:rFonts w:ascii="Arial" w:hAnsi="Arial" w:cs="Arial"/>
        </w:rPr>
      </w:pPr>
      <w:r w:rsidRPr="00A34100">
        <w:rPr>
          <w:rFonts w:ascii="Arial" w:hAnsi="Arial" w:cs="Arial"/>
        </w:rPr>
        <w:t>Christian Thiele</w:t>
      </w:r>
    </w:p>
    <w:p w:rsidR="00257F05" w:rsidRDefault="00257F05" w:rsidP="00257F05">
      <w:pPr>
        <w:autoSpaceDE w:val="0"/>
        <w:autoSpaceDN w:val="0"/>
        <w:adjustRightInd w:val="0"/>
        <w:spacing w:after="0" w:line="360" w:lineRule="auto"/>
        <w:rPr>
          <w:rFonts w:ascii="Arial" w:hAnsi="Arial" w:cs="Arial"/>
        </w:rPr>
      </w:pPr>
      <w:proofErr w:type="spellStart"/>
      <w:r>
        <w:rPr>
          <w:rFonts w:ascii="Arial" w:hAnsi="Arial" w:cs="Arial"/>
        </w:rPr>
        <w:t>Chargé</w:t>
      </w:r>
      <w:proofErr w:type="spellEnd"/>
      <w:r>
        <w:rPr>
          <w:rFonts w:ascii="Arial" w:hAnsi="Arial" w:cs="Arial"/>
        </w:rPr>
        <w:t xml:space="preserve"> de presse</w:t>
      </w:r>
    </w:p>
    <w:p w:rsidR="00257F05" w:rsidRPr="00A34100" w:rsidRDefault="00257F05" w:rsidP="00257F05">
      <w:pPr>
        <w:autoSpaceDE w:val="0"/>
        <w:autoSpaceDN w:val="0"/>
        <w:adjustRightInd w:val="0"/>
        <w:spacing w:after="0" w:line="360" w:lineRule="auto"/>
        <w:rPr>
          <w:rFonts w:ascii="Arial" w:hAnsi="Arial" w:cs="Arial"/>
        </w:rPr>
      </w:pPr>
      <w:r>
        <w:rPr>
          <w:rFonts w:ascii="Arial" w:hAnsi="Arial" w:cs="Arial"/>
        </w:rPr>
        <w:t>Horn-Straße 1</w:t>
      </w:r>
      <w:r w:rsidRPr="00A34100">
        <w:rPr>
          <w:rFonts w:ascii="Arial" w:hAnsi="Arial" w:cs="Arial"/>
        </w:rPr>
        <w:t>, 72072 Tübingen</w:t>
      </w:r>
    </w:p>
    <w:p w:rsidR="00257F05" w:rsidRPr="00A34100" w:rsidRDefault="00257F05" w:rsidP="00257F05">
      <w:pPr>
        <w:autoSpaceDE w:val="0"/>
        <w:autoSpaceDN w:val="0"/>
        <w:adjustRightInd w:val="0"/>
        <w:spacing w:after="0" w:line="360" w:lineRule="auto"/>
        <w:rPr>
          <w:rFonts w:ascii="Arial" w:hAnsi="Arial" w:cs="Arial"/>
          <w:lang w:val="en-US"/>
        </w:rPr>
      </w:pPr>
      <w:r w:rsidRPr="00A34100">
        <w:rPr>
          <w:rFonts w:ascii="Arial" w:hAnsi="Arial" w:cs="Arial"/>
          <w:lang w:val="en-US"/>
        </w:rPr>
        <w:t>Tel.: +49 7071 7004-1820, Fax: +49 7071 72893</w:t>
      </w:r>
    </w:p>
    <w:p w:rsidR="009E62C1" w:rsidRPr="00105A60" w:rsidRDefault="00257F05" w:rsidP="009E62C1">
      <w:pPr>
        <w:spacing w:line="360" w:lineRule="auto"/>
        <w:rPr>
          <w:rFonts w:ascii="Arial" w:hAnsi="Arial" w:cs="Arial"/>
        </w:rPr>
      </w:pPr>
      <w:r w:rsidRPr="00F5059A">
        <w:rPr>
          <w:rFonts w:ascii="Arial" w:hAnsi="Arial" w:cs="Arial"/>
          <w:lang w:val="en-US"/>
        </w:rPr>
        <w:t xml:space="preserve">Email: </w:t>
      </w:r>
      <w:hyperlink r:id="rId8" w:history="1">
        <w:r w:rsidR="009E62C1" w:rsidRPr="00B23CE1">
          <w:rPr>
            <w:rStyle w:val="Hyperlink"/>
            <w:rFonts w:ascii="Arial" w:hAnsi="Arial" w:cs="Arial"/>
            <w:lang w:val="it-IT"/>
          </w:rPr>
          <w:t>Christian.Thiele@de.horn-group.com</w:t>
        </w:r>
      </w:hyperlink>
      <w:r w:rsidR="009E62C1">
        <w:rPr>
          <w:rFonts w:ascii="Arial" w:hAnsi="Arial" w:cs="Arial"/>
          <w:lang w:val="it-IT"/>
        </w:rPr>
        <w:t xml:space="preserve">, </w:t>
      </w:r>
      <w:hyperlink r:id="rId9" w:history="1">
        <w:r w:rsidR="009E62C1">
          <w:rPr>
            <w:rStyle w:val="Hyperlink"/>
            <w:rFonts w:ascii="Arial" w:hAnsi="Arial" w:cs="Arial"/>
            <w:lang w:val="it-IT"/>
          </w:rPr>
          <w:t>www.horn-group.com</w:t>
        </w:r>
      </w:hyperlink>
    </w:p>
    <w:p w:rsidR="00257F05" w:rsidRDefault="00257F05" w:rsidP="00613420">
      <w:pPr>
        <w:autoSpaceDE w:val="0"/>
        <w:autoSpaceDN w:val="0"/>
        <w:adjustRightInd w:val="0"/>
        <w:spacing w:after="0" w:line="360" w:lineRule="auto"/>
        <w:rPr>
          <w:rFonts w:ascii="Arial" w:hAnsi="Arial" w:cs="Arial"/>
          <w:lang w:val="en-US"/>
        </w:rPr>
      </w:pPr>
    </w:p>
    <w:p w:rsidR="00257F05" w:rsidRPr="00A34100" w:rsidRDefault="00257F05" w:rsidP="000119F4">
      <w:pPr>
        <w:rPr>
          <w:rFonts w:ascii="Arial" w:hAnsi="Arial" w:cs="Arial"/>
        </w:rPr>
      </w:pPr>
    </w:p>
    <w:sectPr w:rsidR="00257F05" w:rsidRPr="00A34100"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321C1" w:rsidRDefault="007321C1" w:rsidP="00925DB2">
      <w:pPr>
        <w:spacing w:after="0" w:line="240" w:lineRule="auto"/>
      </w:pPr>
      <w:r>
        <w:separator/>
      </w:r>
    </w:p>
  </w:endnote>
  <w:endnote w:type="continuationSeparator" w:id="0">
    <w:p w:rsidR="007321C1" w:rsidRDefault="007321C1"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CA1B6F">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CA1B6F">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CA1B6F">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CA1B6F">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321C1" w:rsidRDefault="007321C1" w:rsidP="00925DB2">
      <w:pPr>
        <w:spacing w:after="0" w:line="240" w:lineRule="auto"/>
      </w:pPr>
      <w:r>
        <w:separator/>
      </w:r>
    </w:p>
  </w:footnote>
  <w:footnote w:type="continuationSeparator" w:id="0">
    <w:p w:rsidR="007321C1" w:rsidRDefault="007321C1"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19F4"/>
    <w:rsid w:val="00014CB7"/>
    <w:rsid w:val="0002151F"/>
    <w:rsid w:val="000327A8"/>
    <w:rsid w:val="00033E12"/>
    <w:rsid w:val="000370FD"/>
    <w:rsid w:val="00073771"/>
    <w:rsid w:val="00083723"/>
    <w:rsid w:val="00094644"/>
    <w:rsid w:val="000A36AA"/>
    <w:rsid w:val="000C3359"/>
    <w:rsid w:val="000C7345"/>
    <w:rsid w:val="000E45D3"/>
    <w:rsid w:val="00136B12"/>
    <w:rsid w:val="00144A29"/>
    <w:rsid w:val="0016158B"/>
    <w:rsid w:val="001B3DED"/>
    <w:rsid w:val="001D3FDF"/>
    <w:rsid w:val="001E6C8C"/>
    <w:rsid w:val="001F0082"/>
    <w:rsid w:val="00233FBE"/>
    <w:rsid w:val="00255304"/>
    <w:rsid w:val="00257F05"/>
    <w:rsid w:val="002A0FBC"/>
    <w:rsid w:val="002B43E1"/>
    <w:rsid w:val="002B7497"/>
    <w:rsid w:val="002C5EEA"/>
    <w:rsid w:val="002D3034"/>
    <w:rsid w:val="002F6AA3"/>
    <w:rsid w:val="00330180"/>
    <w:rsid w:val="0037244C"/>
    <w:rsid w:val="00392DC1"/>
    <w:rsid w:val="003977AA"/>
    <w:rsid w:val="003D70ED"/>
    <w:rsid w:val="003E3E66"/>
    <w:rsid w:val="003F5834"/>
    <w:rsid w:val="00407668"/>
    <w:rsid w:val="0041301E"/>
    <w:rsid w:val="004335FD"/>
    <w:rsid w:val="00434B0A"/>
    <w:rsid w:val="00437AB3"/>
    <w:rsid w:val="00471C29"/>
    <w:rsid w:val="00472F73"/>
    <w:rsid w:val="004B4972"/>
    <w:rsid w:val="004E285F"/>
    <w:rsid w:val="004E372C"/>
    <w:rsid w:val="004E4EC2"/>
    <w:rsid w:val="004E6F5A"/>
    <w:rsid w:val="00521B1D"/>
    <w:rsid w:val="00545B8A"/>
    <w:rsid w:val="00554440"/>
    <w:rsid w:val="00556398"/>
    <w:rsid w:val="00567DA8"/>
    <w:rsid w:val="005B372D"/>
    <w:rsid w:val="005C5298"/>
    <w:rsid w:val="005E299E"/>
    <w:rsid w:val="005E62B9"/>
    <w:rsid w:val="00613420"/>
    <w:rsid w:val="00617E9D"/>
    <w:rsid w:val="00636ABA"/>
    <w:rsid w:val="00650455"/>
    <w:rsid w:val="00693D38"/>
    <w:rsid w:val="006A247B"/>
    <w:rsid w:val="006A5291"/>
    <w:rsid w:val="006F3A10"/>
    <w:rsid w:val="007019A7"/>
    <w:rsid w:val="00706F5D"/>
    <w:rsid w:val="00723E5C"/>
    <w:rsid w:val="00725BCA"/>
    <w:rsid w:val="00731DE2"/>
    <w:rsid w:val="007321C1"/>
    <w:rsid w:val="00734587"/>
    <w:rsid w:val="0075139F"/>
    <w:rsid w:val="00762688"/>
    <w:rsid w:val="0078218B"/>
    <w:rsid w:val="007879E0"/>
    <w:rsid w:val="007A52E3"/>
    <w:rsid w:val="007D3C38"/>
    <w:rsid w:val="007F1A5E"/>
    <w:rsid w:val="007F41C0"/>
    <w:rsid w:val="007F6A41"/>
    <w:rsid w:val="008371F7"/>
    <w:rsid w:val="008541F6"/>
    <w:rsid w:val="00856156"/>
    <w:rsid w:val="008773F2"/>
    <w:rsid w:val="008A1283"/>
    <w:rsid w:val="008D6D9E"/>
    <w:rsid w:val="008E6293"/>
    <w:rsid w:val="008F78CE"/>
    <w:rsid w:val="00903207"/>
    <w:rsid w:val="00904397"/>
    <w:rsid w:val="009123B9"/>
    <w:rsid w:val="0091455E"/>
    <w:rsid w:val="00925DB2"/>
    <w:rsid w:val="00926A64"/>
    <w:rsid w:val="009359C7"/>
    <w:rsid w:val="00940AAC"/>
    <w:rsid w:val="009703B6"/>
    <w:rsid w:val="00995A54"/>
    <w:rsid w:val="009B0ADA"/>
    <w:rsid w:val="009B7A4E"/>
    <w:rsid w:val="009E08E7"/>
    <w:rsid w:val="009E2257"/>
    <w:rsid w:val="009E25AE"/>
    <w:rsid w:val="009E57D2"/>
    <w:rsid w:val="009E62C1"/>
    <w:rsid w:val="00A051EE"/>
    <w:rsid w:val="00A104B3"/>
    <w:rsid w:val="00A23939"/>
    <w:rsid w:val="00A330B5"/>
    <w:rsid w:val="00A60596"/>
    <w:rsid w:val="00A617E2"/>
    <w:rsid w:val="00A65E23"/>
    <w:rsid w:val="00A84F31"/>
    <w:rsid w:val="00A9258C"/>
    <w:rsid w:val="00AA51BC"/>
    <w:rsid w:val="00AF5558"/>
    <w:rsid w:val="00B0243E"/>
    <w:rsid w:val="00B11BD6"/>
    <w:rsid w:val="00B15205"/>
    <w:rsid w:val="00B505B7"/>
    <w:rsid w:val="00B5079A"/>
    <w:rsid w:val="00B6538A"/>
    <w:rsid w:val="00BA0AE7"/>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67D46"/>
    <w:rsid w:val="00C74A47"/>
    <w:rsid w:val="00C848B8"/>
    <w:rsid w:val="00CA1B6F"/>
    <w:rsid w:val="00CB138C"/>
    <w:rsid w:val="00CC4269"/>
    <w:rsid w:val="00D62E01"/>
    <w:rsid w:val="00DA4DF2"/>
    <w:rsid w:val="00DA4F95"/>
    <w:rsid w:val="00DC36B0"/>
    <w:rsid w:val="00DD4B1C"/>
    <w:rsid w:val="00DE22B7"/>
    <w:rsid w:val="00E0265F"/>
    <w:rsid w:val="00E22D8A"/>
    <w:rsid w:val="00E44CBF"/>
    <w:rsid w:val="00E47F2A"/>
    <w:rsid w:val="00E86700"/>
    <w:rsid w:val="00EC7570"/>
    <w:rsid w:val="00EF64CF"/>
    <w:rsid w:val="00F103BF"/>
    <w:rsid w:val="00F11892"/>
    <w:rsid w:val="00F15E1F"/>
    <w:rsid w:val="00F46249"/>
    <w:rsid w:val="00F46FB3"/>
    <w:rsid w:val="00F53BFD"/>
    <w:rsid w:val="00F54949"/>
    <w:rsid w:val="00F739CB"/>
    <w:rsid w:val="00F82B4E"/>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customStyle="1" w:styleId="shorttext">
    <w:name w:val="short_text"/>
    <w:basedOn w:val="Absatz-Standardschriftart"/>
    <w:rsid w:val="000119F4"/>
  </w:style>
  <w:style w:type="character" w:customStyle="1" w:styleId="hps">
    <w:name w:val="hps"/>
    <w:basedOn w:val="Absatz-Standardschriftart"/>
    <w:rsid w:val="000119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326</Words>
  <Characters>2055</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2377</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2</cp:revision>
  <cp:lastPrinted>2015-02-20T10:59:00Z</cp:lastPrinted>
  <dcterms:created xsi:type="dcterms:W3CDTF">2023-02-16T08:32:00Z</dcterms:created>
  <dcterms:modified xsi:type="dcterms:W3CDTF">2023-02-16T08:32:00Z</dcterms:modified>
</cp:coreProperties>
</file>